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8F" w:rsidRDefault="00F70D8F"/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3"/>
      </w:tblGrid>
      <w:tr w:rsidR="00A4099E" w:rsidRPr="0032166C" w:rsidTr="00A16811">
        <w:trPr>
          <w:trHeight w:val="363"/>
        </w:trPr>
        <w:tc>
          <w:tcPr>
            <w:tcW w:w="8933" w:type="dxa"/>
            <w:shd w:val="clear" w:color="auto" w:fill="auto"/>
          </w:tcPr>
          <w:p w:rsidR="00A4099E" w:rsidRPr="0032166C" w:rsidRDefault="00A4099E" w:rsidP="00A16811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eastAsia="Calibri"/>
                <w:kern w:val="0"/>
                <w:szCs w:val="24"/>
                <w:lang w:val="en" w:eastAsia="en-US"/>
              </w:rPr>
            </w:pPr>
            <w:r w:rsidRPr="0032166C">
              <w:rPr>
                <w:rFonts w:eastAsia="Calibri"/>
                <w:kern w:val="0"/>
                <w:szCs w:val="24"/>
                <w:lang w:val="en" w:eastAsia="en-US"/>
              </w:rPr>
              <w:t>Mathematics resources and practices</w:t>
            </w:r>
          </w:p>
        </w:tc>
      </w:tr>
      <w:tr w:rsidR="00A4099E" w:rsidRPr="0032166C" w:rsidTr="00A16811">
        <w:trPr>
          <w:trHeight w:val="7291"/>
        </w:trPr>
        <w:tc>
          <w:tcPr>
            <w:tcW w:w="8933" w:type="dxa"/>
            <w:shd w:val="clear" w:color="auto" w:fill="auto"/>
          </w:tcPr>
          <w:p w:rsidR="00A4099E" w:rsidRPr="0032166C" w:rsidRDefault="00A4099E" w:rsidP="00A4099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eastAsia="Calibri"/>
                <w:lang w:val="en" w:eastAsia="en-US"/>
              </w:rPr>
            </w:pPr>
            <w:r w:rsidRPr="0032166C">
              <w:rPr>
                <w:rFonts w:eastAsia="Calibri"/>
                <w:lang w:val="en" w:eastAsia="en-US"/>
              </w:rPr>
              <w:t>Use of mathematical “talk” during lessons, including questi</w:t>
            </w:r>
            <w:r>
              <w:rPr>
                <w:rFonts w:eastAsia="Calibri"/>
                <w:lang w:val="en" w:eastAsia="en-US"/>
              </w:rPr>
              <w:t>ons in Te reo Māori (language).</w:t>
            </w:r>
          </w:p>
          <w:p w:rsidR="00A4099E" w:rsidRPr="0032166C" w:rsidRDefault="00A4099E" w:rsidP="00A4099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eastAsia="Calibri"/>
                <w:lang w:val="en" w:eastAsia="en-US"/>
              </w:rPr>
            </w:pPr>
            <w:r w:rsidRPr="0032166C">
              <w:rPr>
                <w:rFonts w:eastAsia="Calibri"/>
                <w:lang w:val="en" w:eastAsia="en-US"/>
              </w:rPr>
              <w:t>Ideas for communicating with families/</w:t>
            </w:r>
            <w:proofErr w:type="spellStart"/>
            <w:r w:rsidRPr="0032166C">
              <w:rPr>
                <w:rFonts w:eastAsia="Calibri"/>
                <w:lang w:val="en" w:eastAsia="en-US"/>
              </w:rPr>
              <w:t>whānau</w:t>
            </w:r>
            <w:proofErr w:type="spellEnd"/>
            <w:r w:rsidRPr="0032166C">
              <w:rPr>
                <w:rFonts w:eastAsia="Calibri"/>
                <w:lang w:val="en" w:eastAsia="en-US"/>
              </w:rPr>
              <w:t xml:space="preserve">, which included a link to the families section on </w:t>
            </w:r>
            <w:proofErr w:type="spellStart"/>
            <w:r w:rsidRPr="0032166C">
              <w:rPr>
                <w:rFonts w:eastAsia="Calibri"/>
                <w:lang w:val="en" w:eastAsia="en-US"/>
              </w:rPr>
              <w:t>nzmaths</w:t>
            </w:r>
            <w:proofErr w:type="spellEnd"/>
            <w:r w:rsidRPr="0032166C">
              <w:rPr>
                <w:rFonts w:eastAsia="Calibri"/>
                <w:lang w:val="en" w:eastAsia="en-US"/>
              </w:rPr>
              <w:t xml:space="preserve">. </w:t>
            </w:r>
          </w:p>
          <w:p w:rsidR="00A4099E" w:rsidRPr="0032166C" w:rsidRDefault="00A4099E" w:rsidP="00A4099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eastAsia="Calibri"/>
                <w:lang w:val="en" w:eastAsia="en-US"/>
              </w:rPr>
            </w:pPr>
            <w:r w:rsidRPr="0032166C">
              <w:rPr>
                <w:rFonts w:eastAsia="Calibri"/>
                <w:lang w:val="en" w:eastAsia="en-US"/>
              </w:rPr>
              <w:t>NZ authored picture books which represent both Māori contexts and mathematics. E.g. “</w:t>
            </w:r>
            <w:r w:rsidRPr="0032166C">
              <w:rPr>
                <w:rFonts w:eastAsia="Calibri"/>
                <w:i/>
                <w:lang w:val="en" w:eastAsia="en-US"/>
              </w:rPr>
              <w:t>Fifty five feathers</w:t>
            </w:r>
            <w:r w:rsidRPr="0032166C">
              <w:rPr>
                <w:rFonts w:eastAsia="Calibri"/>
                <w:lang w:val="en" w:eastAsia="en-US"/>
              </w:rPr>
              <w:t xml:space="preserve">” by Ben Brown and Helen Taylor. </w:t>
            </w:r>
          </w:p>
          <w:p w:rsidR="00A4099E" w:rsidRPr="0032166C" w:rsidRDefault="00A4099E" w:rsidP="00A4099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eastAsia="Calibri"/>
                <w:lang w:val="en" w:eastAsia="en-US"/>
              </w:rPr>
            </w:pPr>
            <w:r w:rsidRPr="0032166C">
              <w:rPr>
                <w:rFonts w:eastAsia="Calibri"/>
                <w:lang w:val="en" w:eastAsia="en-US"/>
              </w:rPr>
              <w:t xml:space="preserve">Use of Te reo Māori for counting, and reinforcing place value understanding. This included directing students to the Māori dictionary on the </w:t>
            </w:r>
            <w:proofErr w:type="spellStart"/>
            <w:r w:rsidRPr="0032166C">
              <w:rPr>
                <w:rFonts w:eastAsia="Calibri"/>
                <w:lang w:val="en" w:eastAsia="en-US"/>
              </w:rPr>
              <w:t>nzmaths</w:t>
            </w:r>
            <w:proofErr w:type="spellEnd"/>
            <w:r w:rsidRPr="0032166C">
              <w:rPr>
                <w:rFonts w:eastAsia="Calibri"/>
                <w:lang w:val="en" w:eastAsia="en-US"/>
              </w:rPr>
              <w:t xml:space="preserve"> website, which translates English words into Te reo Māori.</w:t>
            </w:r>
          </w:p>
          <w:p w:rsidR="00A4099E" w:rsidRPr="0032166C" w:rsidRDefault="00A4099E" w:rsidP="00A409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eastAsia="Calibri"/>
                <w:lang w:val="en" w:eastAsia="en-US"/>
              </w:rPr>
            </w:pPr>
            <w:r w:rsidRPr="0032166C">
              <w:rPr>
                <w:rFonts w:eastAsia="Calibri"/>
                <w:lang w:val="en" w:eastAsia="en-US"/>
              </w:rPr>
              <w:t>Modelling of natural materials e.g. for counting, ordering, measuring, and showing transformations.</w:t>
            </w:r>
          </w:p>
          <w:p w:rsidR="00A4099E" w:rsidRPr="0032166C" w:rsidRDefault="00A4099E" w:rsidP="00A409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eastAsia="Calibri"/>
                <w:lang w:val="en" w:eastAsia="en-US"/>
              </w:rPr>
            </w:pPr>
            <w:r w:rsidRPr="0032166C">
              <w:rPr>
                <w:rFonts w:eastAsia="Calibri"/>
                <w:lang w:val="en" w:eastAsia="en-US"/>
              </w:rPr>
              <w:t xml:space="preserve">Knowing and understanding local community resources and contexts as contexts for mathematical learning.  E.g. local </w:t>
            </w:r>
            <w:proofErr w:type="spellStart"/>
            <w:r w:rsidRPr="0032166C">
              <w:rPr>
                <w:rFonts w:eastAsia="Calibri"/>
                <w:lang w:val="en" w:eastAsia="en-US"/>
              </w:rPr>
              <w:t>marae</w:t>
            </w:r>
            <w:proofErr w:type="spellEnd"/>
            <w:r w:rsidRPr="0032166C">
              <w:rPr>
                <w:rFonts w:eastAsia="Calibri"/>
                <w:lang w:val="en" w:eastAsia="en-US"/>
              </w:rPr>
              <w:t>, sculptures, art works, and people. Photographs were shown of New Zealand examples.</w:t>
            </w:r>
          </w:p>
          <w:p w:rsidR="00A4099E" w:rsidRPr="0032166C" w:rsidRDefault="00A4099E" w:rsidP="00A409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eastAsia="Calibri"/>
                <w:lang w:val="en" w:eastAsia="en-US"/>
              </w:rPr>
            </w:pPr>
            <w:r w:rsidRPr="0032166C">
              <w:rPr>
                <w:rFonts w:eastAsia="Calibri"/>
                <w:lang w:val="en" w:eastAsia="en-US"/>
              </w:rPr>
              <w:t>Cultural contexts were drawn from a series of resources (</w:t>
            </w:r>
            <w:r w:rsidRPr="0032166C">
              <w:rPr>
                <w:rFonts w:eastAsia="Calibri"/>
                <w:i/>
                <w:lang w:val="en" w:eastAsia="en-US"/>
              </w:rPr>
              <w:t>Figure It Out</w:t>
            </w:r>
            <w:r w:rsidRPr="0032166C">
              <w:rPr>
                <w:rFonts w:eastAsia="Calibri"/>
                <w:lang w:val="en" w:eastAsia="en-US"/>
              </w:rPr>
              <w:t xml:space="preserve"> series, Ministry of Education, 1999 – present). These resources are freely available to all schools and some are available online. </w:t>
            </w:r>
          </w:p>
          <w:p w:rsidR="00A4099E" w:rsidRPr="0032166C" w:rsidRDefault="00A4099E" w:rsidP="00A409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eastAsia="Calibri"/>
                <w:lang w:val="en" w:eastAsia="en-US"/>
              </w:rPr>
            </w:pPr>
            <w:r w:rsidRPr="0032166C">
              <w:rPr>
                <w:rFonts w:eastAsia="Calibri"/>
                <w:lang w:val="en" w:eastAsia="en-US"/>
              </w:rPr>
              <w:t>The role of the teacher, and working together with students.</w:t>
            </w:r>
          </w:p>
        </w:tc>
      </w:tr>
    </w:tbl>
    <w:p w:rsidR="00A4099E" w:rsidRPr="0032166C" w:rsidRDefault="00A4099E" w:rsidP="00A4099E">
      <w:pPr>
        <w:suppressAutoHyphens w:val="0"/>
        <w:overflowPunct/>
        <w:autoSpaceDE/>
        <w:spacing w:line="480" w:lineRule="auto"/>
        <w:textAlignment w:val="auto"/>
        <w:rPr>
          <w:rFonts w:eastAsia="Calibri"/>
          <w:kern w:val="0"/>
          <w:szCs w:val="24"/>
          <w:lang w:val="en" w:eastAsia="en-US"/>
        </w:rPr>
      </w:pPr>
      <w:r w:rsidRPr="0032166C">
        <w:rPr>
          <w:rFonts w:eastAsia="Calibri"/>
          <w:kern w:val="0"/>
          <w:szCs w:val="24"/>
          <w:lang w:val="en" w:eastAsia="en-US"/>
        </w:rPr>
        <w:t xml:space="preserve">Table 1: Mathematics resources and practices (Extracts from lecture power point).  </w:t>
      </w:r>
    </w:p>
    <w:p w:rsidR="00A4099E" w:rsidRDefault="00A4099E">
      <w:bookmarkStart w:id="0" w:name="_GoBack"/>
      <w:bookmarkEnd w:id="0"/>
    </w:p>
    <w:p w:rsidR="00A4099E" w:rsidRDefault="00A4099E"/>
    <w:sectPr w:rsidR="00A40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0FBD"/>
    <w:multiLevelType w:val="hybridMultilevel"/>
    <w:tmpl w:val="376461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A60E3"/>
    <w:multiLevelType w:val="hybridMultilevel"/>
    <w:tmpl w:val="618482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9E"/>
    <w:rsid w:val="00A4099E"/>
    <w:rsid w:val="00F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9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99E"/>
    <w:pPr>
      <w:suppressAutoHyphens w:val="0"/>
      <w:overflowPunct/>
      <w:autoSpaceDE/>
      <w:ind w:left="720"/>
      <w:contextualSpacing/>
      <w:textAlignment w:val="auto"/>
    </w:pPr>
    <w:rPr>
      <w:kern w:val="0"/>
      <w:szCs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9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99E"/>
    <w:pPr>
      <w:suppressAutoHyphens w:val="0"/>
      <w:overflowPunct/>
      <w:autoSpaceDE/>
      <w:ind w:left="720"/>
      <w:contextualSpacing/>
      <w:textAlignment w:val="auto"/>
    </w:pPr>
    <w:rPr>
      <w:kern w:val="0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Wilson</dc:creator>
  <cp:lastModifiedBy>Sue Wilson</cp:lastModifiedBy>
  <cp:revision>1</cp:revision>
  <dcterms:created xsi:type="dcterms:W3CDTF">2015-12-01T00:01:00Z</dcterms:created>
  <dcterms:modified xsi:type="dcterms:W3CDTF">2015-12-01T00:02:00Z</dcterms:modified>
</cp:coreProperties>
</file>